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0C378" w14:textId="739E7438" w:rsidR="00C03BCC" w:rsidRPr="00AC3B76" w:rsidRDefault="00AC3B76" w:rsidP="00C03BCC">
      <w:pPr>
        <w:rPr>
          <w:rFonts w:ascii="ＭＳ ゴシック" w:eastAsia="ＭＳ ゴシック" w:hAnsi="ＭＳ ゴシック"/>
          <w:b/>
          <w:sz w:val="28"/>
          <w:szCs w:val="28"/>
          <w:shd w:val="clear" w:color="auto" w:fill="262626" w:themeFill="text1" w:themeFillTint="D9"/>
        </w:rPr>
      </w:pPr>
      <w:r w:rsidRPr="00AC3B7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第2章　</w:t>
      </w:r>
      <w:r w:rsidR="00C03BCC" w:rsidRPr="00AC3B7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事後学習</w:t>
      </w:r>
      <w:r w:rsidR="00223DD6" w:rsidRPr="00AC3B7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C03BCC" w:rsidRPr="00AC3B7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</w:p>
    <w:p w14:paraId="5847A311" w14:textId="77777777" w:rsidR="00483352" w:rsidRPr="004D1820" w:rsidRDefault="00483352" w:rsidP="00C06BB5">
      <w:pPr>
        <w:rPr>
          <w:rFonts w:ascii="ＭＳ 明朝" w:eastAsia="ＭＳ 明朝" w:hAnsi="ＭＳ 明朝"/>
        </w:rPr>
      </w:pPr>
    </w:p>
    <w:p w14:paraId="4F47A029" w14:textId="122D1D9A" w:rsidR="00107023" w:rsidRPr="00F95181" w:rsidRDefault="00AC3B76" w:rsidP="00F95181">
      <w:pPr>
        <w:pStyle w:val="aa"/>
        <w:numPr>
          <w:ilvl w:val="0"/>
          <w:numId w:val="2"/>
        </w:numPr>
        <w:ind w:leftChars="0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第2</w:t>
      </w:r>
      <w:r w:rsidR="007D783E" w:rsidRPr="00F95181">
        <w:rPr>
          <w:rFonts w:asciiTheme="minorEastAsia" w:hAnsiTheme="minorEastAsia" w:hint="eastAsia"/>
          <w:bCs/>
          <w:szCs w:val="21"/>
        </w:rPr>
        <w:t>章で学んだことを復習</w:t>
      </w:r>
      <w:r w:rsidR="00107023" w:rsidRPr="00F95181">
        <w:rPr>
          <w:rFonts w:asciiTheme="minorEastAsia" w:hAnsiTheme="minorEastAsia" w:hint="eastAsia"/>
          <w:bCs/>
          <w:szCs w:val="21"/>
        </w:rPr>
        <w:t>し</w:t>
      </w:r>
      <w:r>
        <w:rPr>
          <w:rFonts w:asciiTheme="minorEastAsia" w:hAnsiTheme="minorEastAsia" w:hint="eastAsia"/>
          <w:bCs/>
          <w:szCs w:val="21"/>
        </w:rPr>
        <w:t>よう</w:t>
      </w:r>
      <w:r w:rsidR="00107023" w:rsidRPr="00F95181">
        <w:rPr>
          <w:rFonts w:asciiTheme="minorEastAsia" w:hAnsiTheme="minorEastAsia" w:hint="eastAsia"/>
          <w:bCs/>
          <w:szCs w:val="21"/>
        </w:rPr>
        <w:t>。</w:t>
      </w:r>
      <w:r w:rsidR="00F95181">
        <w:rPr>
          <w:rFonts w:asciiTheme="minorEastAsia" w:hAnsiTheme="minorEastAsia" w:hint="eastAsia"/>
          <w:bCs/>
          <w:szCs w:val="21"/>
        </w:rPr>
        <w:t>次の(　)に当てはまる用語を解答欄に記入し</w:t>
      </w:r>
      <w:r>
        <w:rPr>
          <w:rFonts w:asciiTheme="minorEastAsia" w:hAnsiTheme="minorEastAsia" w:hint="eastAsia"/>
          <w:bCs/>
          <w:szCs w:val="21"/>
        </w:rPr>
        <w:t>てみよう。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631"/>
        <w:gridCol w:w="7491"/>
        <w:gridCol w:w="1654"/>
      </w:tblGrid>
      <w:tr w:rsidR="00605181" w14:paraId="532C7F1F" w14:textId="77777777" w:rsidTr="00AC3B76">
        <w:tc>
          <w:tcPr>
            <w:tcW w:w="562" w:type="dxa"/>
            <w:shd w:val="clear" w:color="auto" w:fill="BFBFBF" w:themeFill="background1" w:themeFillShade="BF"/>
          </w:tcPr>
          <w:p w14:paraId="5206A661" w14:textId="0F68D6BE" w:rsidR="00605181" w:rsidRPr="00F95181" w:rsidRDefault="00605181" w:rsidP="001A7865">
            <w:pPr>
              <w:tabs>
                <w:tab w:val="center" w:pos="7484"/>
                <w:tab w:val="left" w:pos="12663"/>
              </w:tabs>
              <w:jc w:val="center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AC3B76">
              <w:rPr>
                <w:rFonts w:asciiTheme="majorEastAsia" w:eastAsiaTheme="majorEastAsia" w:hAnsiTheme="majorEastAsia" w:cs="Times New Roman" w:hint="eastAsia"/>
                <w:b/>
                <w:szCs w:val="21"/>
                <w:lang w:bidi="he-IL"/>
              </w:rPr>
              <w:t>No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.</w:t>
            </w:r>
          </w:p>
        </w:tc>
        <w:tc>
          <w:tcPr>
            <w:tcW w:w="7546" w:type="dxa"/>
            <w:shd w:val="clear" w:color="auto" w:fill="BFBFBF" w:themeFill="background1" w:themeFillShade="BF"/>
          </w:tcPr>
          <w:p w14:paraId="4173F7BB" w14:textId="6C3F8AEC" w:rsidR="00605181" w:rsidRPr="00AC3B76" w:rsidRDefault="00605181" w:rsidP="001A7865">
            <w:pPr>
              <w:tabs>
                <w:tab w:val="center" w:pos="7484"/>
                <w:tab w:val="left" w:pos="12663"/>
              </w:tabs>
              <w:jc w:val="center"/>
              <w:rPr>
                <w:rFonts w:ascii="ＭＳ ゴシック" w:eastAsia="ＭＳ ゴシック" w:hAnsi="ＭＳ ゴシック" w:cs="Times New Roman"/>
                <w:b/>
                <w:szCs w:val="21"/>
                <w:lang w:bidi="he-IL"/>
              </w:rPr>
            </w:pPr>
            <w:r w:rsidRPr="00AC3B76">
              <w:rPr>
                <w:rFonts w:ascii="ＭＳ ゴシック" w:eastAsia="ＭＳ ゴシック" w:hAnsi="ＭＳ ゴシック" w:cs="Times New Roman" w:hint="eastAsia"/>
                <w:b/>
                <w:szCs w:val="21"/>
                <w:lang w:bidi="he-IL"/>
              </w:rPr>
              <w:t>問題</w:t>
            </w:r>
          </w:p>
        </w:tc>
        <w:tc>
          <w:tcPr>
            <w:tcW w:w="1668" w:type="dxa"/>
            <w:shd w:val="clear" w:color="auto" w:fill="BFBFBF" w:themeFill="background1" w:themeFillShade="BF"/>
          </w:tcPr>
          <w:p w14:paraId="18F391C9" w14:textId="2D4EC203" w:rsidR="00605181" w:rsidRPr="00AC3B76" w:rsidRDefault="00605181" w:rsidP="001A7865">
            <w:pPr>
              <w:tabs>
                <w:tab w:val="center" w:pos="7484"/>
                <w:tab w:val="left" w:pos="12663"/>
              </w:tabs>
              <w:jc w:val="center"/>
              <w:rPr>
                <w:rFonts w:ascii="ＭＳ ゴシック" w:eastAsia="ＭＳ ゴシック" w:hAnsi="ＭＳ ゴシック" w:cs="Times New Roman"/>
                <w:b/>
                <w:szCs w:val="21"/>
                <w:lang w:bidi="he-IL"/>
              </w:rPr>
            </w:pPr>
            <w:r w:rsidRPr="00AC3B76">
              <w:rPr>
                <w:rFonts w:ascii="ＭＳ ゴシック" w:eastAsia="ＭＳ ゴシック" w:hAnsi="ＭＳ ゴシック" w:cs="Times New Roman" w:hint="eastAsia"/>
                <w:b/>
                <w:szCs w:val="21"/>
                <w:lang w:bidi="he-IL"/>
              </w:rPr>
              <w:t>解答</w:t>
            </w:r>
          </w:p>
        </w:tc>
      </w:tr>
      <w:tr w:rsidR="00605181" w14:paraId="32D66011" w14:textId="77777777" w:rsidTr="00F95181">
        <w:tc>
          <w:tcPr>
            <w:tcW w:w="562" w:type="dxa"/>
          </w:tcPr>
          <w:p w14:paraId="2DAC2740" w14:textId="1E3C650E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1</w:t>
            </w:r>
          </w:p>
        </w:tc>
        <w:tc>
          <w:tcPr>
            <w:tcW w:w="7546" w:type="dxa"/>
          </w:tcPr>
          <w:p w14:paraId="6D159D74" w14:textId="6F45EEE3" w:rsidR="00605181" w:rsidRPr="00F95181" w:rsidRDefault="00201256" w:rsidP="00AC3B76">
            <w:pPr>
              <w:tabs>
                <w:tab w:val="center" w:pos="7484"/>
                <w:tab w:val="left" w:pos="12663"/>
              </w:tabs>
              <w:jc w:val="left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子どもの発達</w:t>
            </w:r>
            <w:r w:rsidR="0060518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は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,ある段階を抜かして発達するということはなく一定の（　　　　）性がある。例えば運動面でいうと首すわりができた後は寝返り,一人で座る,はいはい,つかまり立ち,一人で立つ,歩くのように一つずつ段階を経ていく。</w:t>
            </w:r>
          </w:p>
        </w:tc>
        <w:tc>
          <w:tcPr>
            <w:tcW w:w="1668" w:type="dxa"/>
          </w:tcPr>
          <w:p w14:paraId="71465922" w14:textId="77777777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</w:tr>
      <w:tr w:rsidR="00605181" w14:paraId="6A9C54C4" w14:textId="77777777" w:rsidTr="00F95181">
        <w:tc>
          <w:tcPr>
            <w:tcW w:w="562" w:type="dxa"/>
          </w:tcPr>
          <w:p w14:paraId="535AC264" w14:textId="07D82690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2</w:t>
            </w:r>
          </w:p>
        </w:tc>
        <w:tc>
          <w:tcPr>
            <w:tcW w:w="7546" w:type="dxa"/>
          </w:tcPr>
          <w:p w14:paraId="6E270047" w14:textId="77777777" w:rsidR="00605181" w:rsidRPr="00F95181" w:rsidRDefault="00201256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子どもの発達は一定の方向性があり,特に身体や運動に関しては3つの法則がある</w:t>
            </w:r>
            <w:r w:rsidR="0060518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。</w:t>
            </w:r>
          </w:p>
          <w:p w14:paraId="6530499C" w14:textId="79649AAE" w:rsidR="00201256" w:rsidRPr="00F95181" w:rsidRDefault="00201256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一つは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頭部から（ a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）へと向かって発達する。二つ目は,中心(体</w:t>
            </w:r>
            <w:r w:rsidR="00C4245F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幹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)</w:t>
            </w:r>
            <w:r w:rsidR="00C4245F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から（ </w:t>
            </w:r>
            <w:r w:rsidR="00C4245F"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b.</w:t>
            </w:r>
            <w:r w:rsidR="00C4245F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）へと向かって発達する。三つめは,粗大運動から（ </w:t>
            </w:r>
            <w:r w:rsidR="00C4245F"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c.</w:t>
            </w:r>
            <w:r w:rsidR="00C4245F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）運動へと発達する。</w:t>
            </w:r>
          </w:p>
        </w:tc>
        <w:tc>
          <w:tcPr>
            <w:tcW w:w="1668" w:type="dxa"/>
          </w:tcPr>
          <w:p w14:paraId="20B1387B" w14:textId="77777777" w:rsidR="00605181" w:rsidRPr="00F95181" w:rsidRDefault="00C4245F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a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183ACBAD" w14:textId="77777777" w:rsidR="00C4245F" w:rsidRPr="00F95181" w:rsidRDefault="00C4245F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b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0884D2EC" w14:textId="1853F488" w:rsidR="00C4245F" w:rsidRPr="00F95181" w:rsidRDefault="00C4245F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c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</w:tc>
      </w:tr>
      <w:tr w:rsidR="00605181" w14:paraId="2C5C4238" w14:textId="77777777" w:rsidTr="00F95181">
        <w:tc>
          <w:tcPr>
            <w:tcW w:w="562" w:type="dxa"/>
          </w:tcPr>
          <w:p w14:paraId="48D4C342" w14:textId="0A4C1CFC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3</w:t>
            </w:r>
          </w:p>
        </w:tc>
        <w:tc>
          <w:tcPr>
            <w:tcW w:w="7546" w:type="dxa"/>
          </w:tcPr>
          <w:p w14:paraId="0DE9F228" w14:textId="77777777" w:rsidR="00605181" w:rsidRPr="00F95181" w:rsidRDefault="00C4245F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フロイト</w:t>
            </w:r>
            <w:r w:rsidR="0060518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は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,人間の自我の発達の観点から5つの発達段階を</w:t>
            </w:r>
            <w:r w:rsidR="0060518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唱えた。</w:t>
            </w:r>
          </w:p>
          <w:p w14:paraId="063FE625" w14:textId="77777777" w:rsidR="00AC3B76" w:rsidRDefault="00C4245F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0～1歳頃の授乳や指のおしゃぶりをする時期を（ 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a.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　）期とした。1～3歳頃のトイレットトレーニングをする時期を（ 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b.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　）期とした。4・5歳頃の性に関する意識・識別をするようになる時期を</w:t>
            </w:r>
          </w:p>
          <w:p w14:paraId="0A6CC36A" w14:textId="68EA7964" w:rsidR="00C4245F" w:rsidRPr="00F95181" w:rsidRDefault="00C4245F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（ 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c.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または　　　　　　　　）期とした。学童期頃の</w:t>
            </w:r>
            <w:r w:rsidR="00DB49B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衝動が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学習やスポーツに</w:t>
            </w:r>
            <w:r w:rsidR="00DB49B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向けられ社会性が身につく時期を（ </w:t>
            </w:r>
            <w:r w:rsidR="00DB49B1"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d.</w:t>
            </w:r>
            <w:r w:rsidR="00DB49B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）期とした。1</w:t>
            </w:r>
            <w:r w:rsidR="00DB49B1"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2</w:t>
            </w:r>
            <w:r w:rsidR="00DB49B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歳以降の青年期頃の心理的に自立する時期を（ </w:t>
            </w:r>
            <w:r w:rsidR="00DB49B1"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e.</w:t>
            </w:r>
            <w:r w:rsidR="00DB49B1"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　）期とした。</w:t>
            </w:r>
          </w:p>
        </w:tc>
        <w:tc>
          <w:tcPr>
            <w:tcW w:w="1668" w:type="dxa"/>
          </w:tcPr>
          <w:p w14:paraId="07D8D471" w14:textId="77777777" w:rsidR="00605181" w:rsidRPr="00F95181" w:rsidRDefault="00DB49B1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a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74BC9CB7" w14:textId="77777777" w:rsidR="00DB49B1" w:rsidRPr="00F95181" w:rsidRDefault="00DB49B1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b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1C6FA54C" w14:textId="77777777" w:rsidR="00DB49B1" w:rsidRPr="00F95181" w:rsidRDefault="00DB49B1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c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3DF7BE80" w14:textId="77777777" w:rsidR="00DB49B1" w:rsidRPr="00F95181" w:rsidRDefault="00DB49B1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d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099175AE" w14:textId="7545D320" w:rsidR="00DB49B1" w:rsidRPr="00F95181" w:rsidRDefault="00DB49B1" w:rsidP="00DB49B1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e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</w:tc>
      </w:tr>
      <w:tr w:rsidR="00605181" w14:paraId="3149433D" w14:textId="77777777" w:rsidTr="00F95181">
        <w:tc>
          <w:tcPr>
            <w:tcW w:w="562" w:type="dxa"/>
          </w:tcPr>
          <w:p w14:paraId="10983D96" w14:textId="2500ABA4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4</w:t>
            </w:r>
          </w:p>
        </w:tc>
        <w:tc>
          <w:tcPr>
            <w:tcW w:w="7546" w:type="dxa"/>
          </w:tcPr>
          <w:p w14:paraId="6A65260C" w14:textId="4AE7C7E8" w:rsidR="009F6748" w:rsidRPr="00F95181" w:rsidRDefault="009F6748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ピアジェの認知発達理論では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認知の発達を（ 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a.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）と（ 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b.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）という2つの働きによって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子どもが世界を認識するための枠組みである（ 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c.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 xml:space="preserve">　　　　　　）を変化させていくプロセスと考えた。</w:t>
            </w:r>
          </w:p>
        </w:tc>
        <w:tc>
          <w:tcPr>
            <w:tcW w:w="1668" w:type="dxa"/>
          </w:tcPr>
          <w:p w14:paraId="1830D272" w14:textId="77777777" w:rsidR="009F6748" w:rsidRPr="00F95181" w:rsidRDefault="009F6748" w:rsidP="009F6748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a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77A4D814" w14:textId="77777777" w:rsidR="009F6748" w:rsidRPr="00F95181" w:rsidRDefault="009F6748" w:rsidP="009F6748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b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  <w:p w14:paraId="4571940B" w14:textId="1A8315CB" w:rsidR="009F6748" w:rsidRPr="00F95181" w:rsidRDefault="009F6748" w:rsidP="009F6748">
            <w:pPr>
              <w:tabs>
                <w:tab w:val="center" w:pos="7484"/>
                <w:tab w:val="left" w:pos="12663"/>
              </w:tabs>
              <w:spacing w:line="360" w:lineRule="auto"/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c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.</w:t>
            </w:r>
          </w:p>
        </w:tc>
      </w:tr>
      <w:tr w:rsidR="00605181" w14:paraId="609A3D28" w14:textId="77777777" w:rsidTr="00F95181">
        <w:tc>
          <w:tcPr>
            <w:tcW w:w="562" w:type="dxa"/>
          </w:tcPr>
          <w:p w14:paraId="20A82937" w14:textId="25C57FFB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5</w:t>
            </w:r>
          </w:p>
        </w:tc>
        <w:tc>
          <w:tcPr>
            <w:tcW w:w="7546" w:type="dxa"/>
          </w:tcPr>
          <w:p w14:paraId="03A6070E" w14:textId="72BE072F" w:rsidR="00605181" w:rsidRDefault="009F6748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ピアジェの認知発達理論の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前操作期には前概念的思考と（　　　　　　）思考の2つがある。</w:t>
            </w:r>
          </w:p>
          <w:p w14:paraId="492BF9AF" w14:textId="77777777" w:rsidR="00AC3B76" w:rsidRDefault="00AC3B76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  <w:p w14:paraId="62A53B72" w14:textId="5C839E65" w:rsidR="00AC3B76" w:rsidRPr="00F95181" w:rsidRDefault="00AC3B76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  <w:tc>
          <w:tcPr>
            <w:tcW w:w="1668" w:type="dxa"/>
          </w:tcPr>
          <w:p w14:paraId="77E67EC5" w14:textId="77777777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</w:tr>
      <w:tr w:rsidR="00F95181" w14:paraId="7D8B31FF" w14:textId="77777777" w:rsidTr="00F95181">
        <w:tc>
          <w:tcPr>
            <w:tcW w:w="562" w:type="dxa"/>
          </w:tcPr>
          <w:p w14:paraId="5945999A" w14:textId="67E7946F" w:rsidR="00F95181" w:rsidRPr="00F95181" w:rsidRDefault="00F9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lastRenderedPageBreak/>
              <w:t>6</w:t>
            </w:r>
          </w:p>
        </w:tc>
        <w:tc>
          <w:tcPr>
            <w:tcW w:w="7546" w:type="dxa"/>
          </w:tcPr>
          <w:p w14:paraId="5E227D17" w14:textId="1FC38180" w:rsidR="00F95181" w:rsidRPr="00F95181" w:rsidRDefault="00F9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ピアジェの認知発達理論の</w:t>
            </w: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中で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どのようなものにも命や意思があると考える時期があり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そのような思考のことを（　　　　　　　）という。</w:t>
            </w:r>
          </w:p>
        </w:tc>
        <w:tc>
          <w:tcPr>
            <w:tcW w:w="1668" w:type="dxa"/>
          </w:tcPr>
          <w:p w14:paraId="6C25B485" w14:textId="77777777" w:rsidR="00F95181" w:rsidRPr="00F95181" w:rsidRDefault="00F9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</w:tr>
      <w:tr w:rsidR="00605181" w14:paraId="70A086E8" w14:textId="77777777" w:rsidTr="00F95181">
        <w:tc>
          <w:tcPr>
            <w:tcW w:w="562" w:type="dxa"/>
          </w:tcPr>
          <w:p w14:paraId="702BC865" w14:textId="4E15FE6D" w:rsidR="00605181" w:rsidRPr="00F95181" w:rsidRDefault="00F9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7</w:t>
            </w:r>
          </w:p>
        </w:tc>
        <w:tc>
          <w:tcPr>
            <w:tcW w:w="7546" w:type="dxa"/>
          </w:tcPr>
          <w:p w14:paraId="18290F76" w14:textId="6A2D04EA" w:rsidR="00605181" w:rsidRPr="00F95181" w:rsidRDefault="009F6748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生涯発違に関する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エリクソンの心理社会的発達理論の中で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乳児期(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0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～1歳)における心理社会的課題は(　　　　VS.　　　　)である。</w:t>
            </w:r>
          </w:p>
        </w:tc>
        <w:tc>
          <w:tcPr>
            <w:tcW w:w="1668" w:type="dxa"/>
          </w:tcPr>
          <w:p w14:paraId="7A42D2DE" w14:textId="77777777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</w:tr>
      <w:tr w:rsidR="002D22BD" w14:paraId="494369F3" w14:textId="77777777" w:rsidTr="00F95181">
        <w:tc>
          <w:tcPr>
            <w:tcW w:w="562" w:type="dxa"/>
          </w:tcPr>
          <w:p w14:paraId="2781D63E" w14:textId="55937158" w:rsidR="002D22BD" w:rsidRPr="00F95181" w:rsidRDefault="00F9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8</w:t>
            </w:r>
          </w:p>
        </w:tc>
        <w:tc>
          <w:tcPr>
            <w:tcW w:w="7546" w:type="dxa"/>
          </w:tcPr>
          <w:p w14:paraId="3B04D6AD" w14:textId="6167FD81" w:rsidR="002D22BD" w:rsidRPr="00F95181" w:rsidRDefault="002D22BD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生涯発違に関する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エリクソンの心理社会的発達理論の中で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幼児前期(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2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～3歳)における心理社会的課題は(　　　　VS.　　　　)である。</w:t>
            </w:r>
          </w:p>
        </w:tc>
        <w:tc>
          <w:tcPr>
            <w:tcW w:w="1668" w:type="dxa"/>
          </w:tcPr>
          <w:p w14:paraId="43AC6FA2" w14:textId="77777777" w:rsidR="002D22BD" w:rsidRPr="00F95181" w:rsidRDefault="002D22BD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</w:tr>
      <w:tr w:rsidR="00605181" w14:paraId="7F486A1F" w14:textId="77777777" w:rsidTr="00F95181">
        <w:tc>
          <w:tcPr>
            <w:tcW w:w="562" w:type="dxa"/>
          </w:tcPr>
          <w:p w14:paraId="3DCF0CB3" w14:textId="2C97C452" w:rsidR="00605181" w:rsidRPr="00F95181" w:rsidRDefault="00F9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9</w:t>
            </w:r>
          </w:p>
        </w:tc>
        <w:tc>
          <w:tcPr>
            <w:tcW w:w="7546" w:type="dxa"/>
          </w:tcPr>
          <w:p w14:paraId="596460A6" w14:textId="42C10610" w:rsidR="00605181" w:rsidRPr="00F95181" w:rsidRDefault="009F6748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生涯発違に関する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エリクソンの心理社会的発達理論の中で</w:t>
            </w:r>
            <w:r w:rsidR="00AC3B76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，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幼児後期(</w:t>
            </w:r>
            <w:r w:rsidRPr="00F95181">
              <w:rPr>
                <w:rFonts w:asciiTheme="minorEastAsia" w:hAnsiTheme="minorEastAsia" w:cs="Times New Roman"/>
                <w:bCs/>
                <w:szCs w:val="21"/>
                <w:lang w:bidi="he-IL"/>
              </w:rPr>
              <w:t>3</w:t>
            </w:r>
            <w:r w:rsidRPr="00F95181">
              <w:rPr>
                <w:rFonts w:asciiTheme="minorEastAsia" w:hAnsiTheme="minorEastAsia" w:cs="Times New Roman" w:hint="eastAsia"/>
                <w:bCs/>
                <w:szCs w:val="21"/>
                <w:lang w:bidi="he-IL"/>
              </w:rPr>
              <w:t>～6歳)における心理社会的課題は(　　　　VS.　　　　)である。</w:t>
            </w:r>
          </w:p>
        </w:tc>
        <w:tc>
          <w:tcPr>
            <w:tcW w:w="1668" w:type="dxa"/>
          </w:tcPr>
          <w:p w14:paraId="7ADCAF92" w14:textId="77777777" w:rsidR="00605181" w:rsidRPr="00F95181" w:rsidRDefault="00605181" w:rsidP="00605181">
            <w:pPr>
              <w:tabs>
                <w:tab w:val="center" w:pos="7484"/>
                <w:tab w:val="left" w:pos="12663"/>
              </w:tabs>
              <w:rPr>
                <w:rFonts w:asciiTheme="minorEastAsia" w:hAnsiTheme="minorEastAsia" w:cs="Times New Roman"/>
                <w:bCs/>
                <w:szCs w:val="21"/>
                <w:lang w:bidi="he-IL"/>
              </w:rPr>
            </w:pPr>
          </w:p>
        </w:tc>
      </w:tr>
    </w:tbl>
    <w:p w14:paraId="42DB7076" w14:textId="0C1E3B7A" w:rsidR="00107023" w:rsidRPr="004D1820" w:rsidRDefault="00107023" w:rsidP="00605181">
      <w:pPr>
        <w:tabs>
          <w:tab w:val="center" w:pos="7484"/>
          <w:tab w:val="left" w:pos="12663"/>
        </w:tabs>
        <w:rPr>
          <w:rFonts w:asciiTheme="minorEastAsia" w:hAnsiTheme="minorEastAsia" w:cs="Times New Roman"/>
          <w:b/>
          <w:szCs w:val="21"/>
          <w:lang w:bidi="he-IL"/>
        </w:rPr>
      </w:pPr>
    </w:p>
    <w:p w14:paraId="216C704A" w14:textId="60FC31A4" w:rsidR="0044280F" w:rsidRDefault="00F95181" w:rsidP="00F95181">
      <w:pPr>
        <w:pStyle w:val="aa"/>
        <w:numPr>
          <w:ilvl w:val="0"/>
          <w:numId w:val="2"/>
        </w:numPr>
        <w:ind w:leftChars="0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子どもの発達について学び</w:t>
      </w:r>
      <w:r w:rsidR="00AC3B76">
        <w:rPr>
          <w:rFonts w:asciiTheme="minorEastAsia" w:hAnsiTheme="minorEastAsia" w:hint="eastAsia"/>
          <w:bCs/>
          <w:szCs w:val="21"/>
        </w:rPr>
        <w:t>，</w:t>
      </w:r>
      <w:r>
        <w:rPr>
          <w:rFonts w:asciiTheme="minorEastAsia" w:hAnsiTheme="minorEastAsia" w:hint="eastAsia"/>
          <w:bCs/>
          <w:szCs w:val="21"/>
        </w:rPr>
        <w:t>保育を展開する保育者として大事な視点はどのようなこと</w:t>
      </w:r>
      <w:r w:rsidR="00D37367">
        <w:rPr>
          <w:rFonts w:asciiTheme="minorEastAsia" w:hAnsiTheme="minorEastAsia" w:hint="eastAsia"/>
          <w:bCs/>
          <w:szCs w:val="21"/>
        </w:rPr>
        <w:t>だろうか</w:t>
      </w:r>
      <w:r>
        <w:rPr>
          <w:rFonts w:asciiTheme="minorEastAsia" w:hAnsiTheme="minorEastAsia" w:hint="eastAsia"/>
          <w:bCs/>
          <w:szCs w:val="21"/>
        </w:rPr>
        <w:t>？</w:t>
      </w:r>
      <w:r w:rsidR="00D37367">
        <w:rPr>
          <w:rFonts w:asciiTheme="minorEastAsia" w:hAnsiTheme="minorEastAsia" w:hint="eastAsia"/>
          <w:bCs/>
          <w:szCs w:val="21"/>
        </w:rPr>
        <w:t xml:space="preserve">　</w:t>
      </w:r>
      <w:r>
        <w:rPr>
          <w:rFonts w:asciiTheme="minorEastAsia" w:hAnsiTheme="minorEastAsia" w:hint="eastAsia"/>
          <w:bCs/>
          <w:szCs w:val="21"/>
        </w:rPr>
        <w:t>(事前学習ワークシート(</w:t>
      </w:r>
      <w:r>
        <w:rPr>
          <w:rFonts w:asciiTheme="minorEastAsia" w:hAnsiTheme="minorEastAsia"/>
          <w:bCs/>
          <w:szCs w:val="21"/>
        </w:rPr>
        <w:t>3</w:t>
      </w:r>
      <w:r>
        <w:rPr>
          <w:rFonts w:asciiTheme="minorEastAsia" w:hAnsiTheme="minorEastAsia" w:hint="eastAsia"/>
          <w:bCs/>
          <w:szCs w:val="21"/>
        </w:rPr>
        <w:t>)で記入した学習前の自分の考えと</w:t>
      </w:r>
      <w:r w:rsidR="00AC3B76">
        <w:rPr>
          <w:rFonts w:asciiTheme="minorEastAsia" w:hAnsiTheme="minorEastAsia" w:hint="eastAsia"/>
          <w:bCs/>
          <w:szCs w:val="21"/>
        </w:rPr>
        <w:t>，</w:t>
      </w:r>
      <w:r>
        <w:rPr>
          <w:rFonts w:asciiTheme="minorEastAsia" w:hAnsiTheme="minorEastAsia" w:hint="eastAsia"/>
          <w:bCs/>
          <w:szCs w:val="21"/>
        </w:rPr>
        <w:t>今回学習後の自分の考えとの差異でも</w:t>
      </w:r>
      <w:r w:rsidR="00D37367">
        <w:rPr>
          <w:rFonts w:asciiTheme="minorEastAsia" w:hAnsiTheme="minorEastAsia" w:hint="eastAsia"/>
          <w:bCs/>
          <w:szCs w:val="21"/>
        </w:rPr>
        <w:t>構わない</w:t>
      </w:r>
      <w:r>
        <w:rPr>
          <w:rFonts w:asciiTheme="minorEastAsia" w:hAnsiTheme="minorEastAsia" w:hint="eastAsia"/>
          <w:bCs/>
          <w:szCs w:val="21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181" w14:paraId="2DECC73B" w14:textId="77777777" w:rsidTr="00F95181">
        <w:tc>
          <w:tcPr>
            <w:tcW w:w="9628" w:type="dxa"/>
          </w:tcPr>
          <w:p w14:paraId="7D8863D6" w14:textId="77777777" w:rsidR="00F95181" w:rsidRDefault="00F95181" w:rsidP="00F95181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4846090B" w14:textId="77777777" w:rsidR="00F95181" w:rsidRDefault="00F95181" w:rsidP="00F95181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3EC5303F" w14:textId="77777777" w:rsidR="00F95181" w:rsidRPr="00D37367" w:rsidRDefault="00F95181" w:rsidP="00F95181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6C471CD9" w14:textId="77777777" w:rsidR="00F95181" w:rsidRDefault="00F95181" w:rsidP="00F95181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1F92292A" w14:textId="77777777" w:rsidR="00F95181" w:rsidRDefault="00F95181" w:rsidP="00F95181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2561A467" w14:textId="77777777" w:rsidR="00F95181" w:rsidRDefault="00F95181" w:rsidP="00F95181">
            <w:pPr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14:paraId="07642924" w14:textId="77777777" w:rsidR="00F95181" w:rsidRPr="00F95181" w:rsidRDefault="00F95181" w:rsidP="00F95181">
      <w:pPr>
        <w:rPr>
          <w:rFonts w:asciiTheme="minorEastAsia" w:hAnsiTheme="minorEastAsia"/>
          <w:bCs/>
          <w:szCs w:val="21"/>
        </w:rPr>
      </w:pPr>
    </w:p>
    <w:sectPr w:rsidR="00F95181" w:rsidRPr="00F95181" w:rsidSect="00A550E4">
      <w:pgSz w:w="11906" w:h="16838" w:code="9"/>
      <w:pgMar w:top="1134" w:right="1134" w:bottom="1134" w:left="1134" w:header="720" w:footer="720" w:gutter="0"/>
      <w:paperSrc w:other="7"/>
      <w:cols w:space="425"/>
      <w:docGrid w:type="linesAndChars" w:linePitch="416" w:charSpace="13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92F7" w14:textId="77777777" w:rsidR="00A550E4" w:rsidRDefault="00A550E4" w:rsidP="00BA1C0D">
      <w:r>
        <w:separator/>
      </w:r>
    </w:p>
  </w:endnote>
  <w:endnote w:type="continuationSeparator" w:id="0">
    <w:p w14:paraId="5D8F190E" w14:textId="77777777" w:rsidR="00A550E4" w:rsidRDefault="00A550E4" w:rsidP="00BA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01D8" w14:textId="77777777" w:rsidR="00A550E4" w:rsidRDefault="00A550E4" w:rsidP="00BA1C0D">
      <w:r>
        <w:separator/>
      </w:r>
    </w:p>
  </w:footnote>
  <w:footnote w:type="continuationSeparator" w:id="0">
    <w:p w14:paraId="0B8E852A" w14:textId="77777777" w:rsidR="00A550E4" w:rsidRDefault="00A550E4" w:rsidP="00BA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F6CAA"/>
    <w:multiLevelType w:val="hybridMultilevel"/>
    <w:tmpl w:val="57C0F3C2"/>
    <w:lvl w:ilvl="0" w:tplc="338A9858">
      <w:start w:val="3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1B6678D2">
      <w:start w:val="1"/>
      <w:numFmt w:val="japaneseCounting"/>
      <w:lvlText w:val="第%2節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682F71"/>
    <w:multiLevelType w:val="hybridMultilevel"/>
    <w:tmpl w:val="E168E36A"/>
    <w:lvl w:ilvl="0" w:tplc="04244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18290650">
    <w:abstractNumId w:val="0"/>
  </w:num>
  <w:num w:numId="2" w16cid:durableId="1748267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75"/>
  <w:drawingGridVerticalSpacing w:val="20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BB5"/>
    <w:rsid w:val="00055AD1"/>
    <w:rsid w:val="000A4137"/>
    <w:rsid w:val="000F6158"/>
    <w:rsid w:val="00107023"/>
    <w:rsid w:val="00142747"/>
    <w:rsid w:val="00147729"/>
    <w:rsid w:val="0019180C"/>
    <w:rsid w:val="001A7865"/>
    <w:rsid w:val="001B04AC"/>
    <w:rsid w:val="00201256"/>
    <w:rsid w:val="002044BF"/>
    <w:rsid w:val="00223DD6"/>
    <w:rsid w:val="00293D33"/>
    <w:rsid w:val="002D22BD"/>
    <w:rsid w:val="002F4C84"/>
    <w:rsid w:val="003F691D"/>
    <w:rsid w:val="004202D7"/>
    <w:rsid w:val="00421137"/>
    <w:rsid w:val="0044280F"/>
    <w:rsid w:val="00483352"/>
    <w:rsid w:val="004B6296"/>
    <w:rsid w:val="004C5409"/>
    <w:rsid w:val="004D1820"/>
    <w:rsid w:val="004E41EB"/>
    <w:rsid w:val="00516160"/>
    <w:rsid w:val="0053387D"/>
    <w:rsid w:val="005357CD"/>
    <w:rsid w:val="00577FFA"/>
    <w:rsid w:val="005C3411"/>
    <w:rsid w:val="006025E5"/>
    <w:rsid w:val="00605181"/>
    <w:rsid w:val="00682575"/>
    <w:rsid w:val="006C389E"/>
    <w:rsid w:val="00705F5B"/>
    <w:rsid w:val="0073155D"/>
    <w:rsid w:val="007526A5"/>
    <w:rsid w:val="007D783E"/>
    <w:rsid w:val="00921093"/>
    <w:rsid w:val="009761B2"/>
    <w:rsid w:val="009A49C5"/>
    <w:rsid w:val="009E68FD"/>
    <w:rsid w:val="009F6748"/>
    <w:rsid w:val="00A27954"/>
    <w:rsid w:val="00A550E4"/>
    <w:rsid w:val="00AC3B76"/>
    <w:rsid w:val="00BA1C0D"/>
    <w:rsid w:val="00BF6E54"/>
    <w:rsid w:val="00C03BCC"/>
    <w:rsid w:val="00C06BB5"/>
    <w:rsid w:val="00C151F7"/>
    <w:rsid w:val="00C4245F"/>
    <w:rsid w:val="00C515DB"/>
    <w:rsid w:val="00C75054"/>
    <w:rsid w:val="00D120F9"/>
    <w:rsid w:val="00D37367"/>
    <w:rsid w:val="00D53710"/>
    <w:rsid w:val="00D60CF1"/>
    <w:rsid w:val="00D83B58"/>
    <w:rsid w:val="00DB49B1"/>
    <w:rsid w:val="00E023E3"/>
    <w:rsid w:val="00E1730B"/>
    <w:rsid w:val="00E2095D"/>
    <w:rsid w:val="00EA6451"/>
    <w:rsid w:val="00EE7123"/>
    <w:rsid w:val="00EF1A28"/>
    <w:rsid w:val="00F12D03"/>
    <w:rsid w:val="00F456F1"/>
    <w:rsid w:val="00F9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DD77A2"/>
  <w15:docId w15:val="{606D4F79-90B5-4A1A-955F-FD428C14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1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712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1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1C0D"/>
  </w:style>
  <w:style w:type="paragraph" w:styleId="a7">
    <w:name w:val="footer"/>
    <w:basedOn w:val="a"/>
    <w:link w:val="a8"/>
    <w:uiPriority w:val="99"/>
    <w:unhideWhenUsed/>
    <w:rsid w:val="00BA1C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1C0D"/>
  </w:style>
  <w:style w:type="table" w:styleId="a9">
    <w:name w:val="Table Grid"/>
    <w:basedOn w:val="a1"/>
    <w:uiPriority w:val="59"/>
    <w:rsid w:val="00605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951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terami-u</dc:creator>
  <cp:lastModifiedBy>kuroda</cp:lastModifiedBy>
  <cp:revision>8</cp:revision>
  <cp:lastPrinted>2020-06-10T01:43:00Z</cp:lastPrinted>
  <dcterms:created xsi:type="dcterms:W3CDTF">2023-10-10T00:57:00Z</dcterms:created>
  <dcterms:modified xsi:type="dcterms:W3CDTF">2024-03-07T05:01:00Z</dcterms:modified>
</cp:coreProperties>
</file>